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3B8" w:rsidRDefault="00DF03B8" w:rsidP="00DF03B8">
      <w:pPr>
        <w:pStyle w:val="Textoindependiente"/>
        <w:jc w:val="center"/>
        <w:rPr>
          <w:rFonts w:ascii="Trebuchet MS" w:hAnsi="Trebuchet MS" w:cs="Tahoma"/>
          <w:b/>
          <w:sz w:val="20"/>
          <w:szCs w:val="20"/>
        </w:rPr>
      </w:pPr>
      <w:r>
        <w:rPr>
          <w:rFonts w:ascii="Trebuchet MS" w:hAnsi="Trebuchet MS" w:cs="Tahoma"/>
          <w:b/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noProof/>
          <w:lang w:val="es-CO" w:eastAsia="es-CO"/>
        </w:rPr>
        <w:drawing>
          <wp:inline distT="0" distB="0" distL="0" distR="0">
            <wp:extent cx="1025369" cy="548640"/>
            <wp:effectExtent l="19050" t="0" r="3331" b="0"/>
            <wp:docPr id="1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-189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55144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 w:cs="Tahoma"/>
          <w:b/>
          <w:noProof/>
          <w:sz w:val="20"/>
          <w:szCs w:val="20"/>
          <w:lang w:val="es-CO" w:eastAsia="es-C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250825</wp:posOffset>
            </wp:positionH>
            <wp:positionV relativeFrom="paragraph">
              <wp:posOffset>-359410</wp:posOffset>
            </wp:positionV>
            <wp:extent cx="1165225" cy="675640"/>
            <wp:effectExtent l="19050" t="0" r="0" b="0"/>
            <wp:wrapNone/>
            <wp:docPr id="2" name="Imagen 2" descr="La imagen “file:///C:/Documents%20and%20Settings/JENNIFER/Mis%20documentos/PACHO/Oficina/Calidad/logo%20rtvc.jpg” no se puede mostrar debido a que contiene error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a imagen “file:///C:/Documents%20and%20Settings/JENNIFER/Mis%20documentos/PACHO/Oficina/Calidad/logo%20rtvc.jpg” no se puede mostrar debido a que contiene errores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166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225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03B8" w:rsidRPr="00DF03B8" w:rsidRDefault="00DF03B8" w:rsidP="00DF03B8">
      <w:pPr>
        <w:pStyle w:val="Textoindependiente"/>
        <w:jc w:val="center"/>
        <w:rPr>
          <w:rFonts w:ascii="Trebuchet MS" w:hAnsi="Trebuchet MS" w:cs="Tahoma"/>
          <w:b/>
          <w:sz w:val="20"/>
          <w:szCs w:val="20"/>
        </w:rPr>
      </w:pPr>
      <w:r w:rsidRPr="00DF03B8">
        <w:rPr>
          <w:rFonts w:ascii="Trebuchet MS" w:hAnsi="Trebuchet MS" w:cs="Tahoma"/>
          <w:b/>
          <w:sz w:val="20"/>
          <w:szCs w:val="20"/>
        </w:rPr>
        <w:t>RADIO TELEVISIÓN NACIONAL DE COLOMBIA – RTVC</w:t>
      </w:r>
    </w:p>
    <w:p w:rsidR="00DF03B8" w:rsidRDefault="00DF03B8" w:rsidP="00DF03B8">
      <w:pPr>
        <w:pStyle w:val="Textoindependiente"/>
        <w:jc w:val="center"/>
        <w:rPr>
          <w:rFonts w:ascii="Trebuchet MS" w:hAnsi="Trebuchet MS" w:cs="Tahoma"/>
          <w:b/>
          <w:sz w:val="20"/>
          <w:szCs w:val="20"/>
        </w:rPr>
      </w:pPr>
    </w:p>
    <w:p w:rsidR="00DF03B8" w:rsidRDefault="00DF03B8" w:rsidP="00DF03B8">
      <w:pPr>
        <w:pStyle w:val="Textoindependiente"/>
        <w:jc w:val="center"/>
        <w:rPr>
          <w:rFonts w:ascii="Trebuchet MS" w:hAnsi="Trebuchet MS" w:cs="Tahoma"/>
          <w:b/>
          <w:sz w:val="20"/>
          <w:szCs w:val="20"/>
        </w:rPr>
      </w:pPr>
      <w:r w:rsidRPr="00DF03B8">
        <w:rPr>
          <w:rFonts w:ascii="Trebuchet MS" w:hAnsi="Trebuchet MS" w:cs="Tahoma"/>
          <w:b/>
          <w:sz w:val="20"/>
          <w:szCs w:val="20"/>
        </w:rPr>
        <w:t xml:space="preserve">RESOLUCIÓN No.  </w:t>
      </w:r>
      <w:r w:rsidR="00181754">
        <w:rPr>
          <w:rFonts w:ascii="Trebuchet MS" w:hAnsi="Trebuchet MS" w:cs="Tahoma"/>
          <w:b/>
          <w:sz w:val="20"/>
          <w:szCs w:val="20"/>
        </w:rPr>
        <w:t>297</w:t>
      </w:r>
      <w:r w:rsidRPr="00DF03B8">
        <w:rPr>
          <w:rFonts w:ascii="Trebuchet MS" w:hAnsi="Trebuchet MS" w:cs="Tahoma"/>
          <w:b/>
          <w:sz w:val="20"/>
          <w:szCs w:val="20"/>
        </w:rPr>
        <w:t xml:space="preserve"> de 2009</w:t>
      </w:r>
    </w:p>
    <w:p w:rsidR="00181754" w:rsidRPr="00DF03B8" w:rsidRDefault="00181754" w:rsidP="00DF03B8">
      <w:pPr>
        <w:pStyle w:val="Textoindependiente"/>
        <w:jc w:val="center"/>
        <w:rPr>
          <w:rFonts w:ascii="Trebuchet MS" w:hAnsi="Trebuchet MS" w:cs="Tahoma"/>
          <w:b/>
          <w:sz w:val="20"/>
          <w:szCs w:val="20"/>
        </w:rPr>
      </w:pPr>
    </w:p>
    <w:p w:rsidR="00DF03B8" w:rsidRPr="00181754" w:rsidRDefault="00DF03B8" w:rsidP="00DF03B8">
      <w:pPr>
        <w:pStyle w:val="Textoindependiente"/>
        <w:jc w:val="center"/>
        <w:rPr>
          <w:rFonts w:ascii="Trebuchet MS" w:hAnsi="Trebuchet MS" w:cs="Tahoma"/>
          <w:b/>
          <w:sz w:val="20"/>
          <w:szCs w:val="20"/>
        </w:rPr>
      </w:pPr>
      <w:r w:rsidRPr="00181754">
        <w:rPr>
          <w:rFonts w:ascii="Trebuchet MS" w:hAnsi="Trebuchet MS" w:cs="Tahoma"/>
          <w:b/>
          <w:sz w:val="20"/>
          <w:szCs w:val="20"/>
        </w:rPr>
        <w:t>(</w:t>
      </w:r>
      <w:r w:rsidR="00181754" w:rsidRPr="00181754">
        <w:rPr>
          <w:rFonts w:ascii="Trebuchet MS" w:hAnsi="Trebuchet MS" w:cs="Tahoma"/>
          <w:b/>
          <w:sz w:val="20"/>
          <w:szCs w:val="20"/>
        </w:rPr>
        <w:t>22 de julio de 2009</w:t>
      </w:r>
      <w:r w:rsidRPr="00181754">
        <w:rPr>
          <w:rFonts w:ascii="Trebuchet MS" w:hAnsi="Trebuchet MS" w:cs="Tahoma"/>
          <w:b/>
          <w:sz w:val="20"/>
          <w:szCs w:val="20"/>
        </w:rPr>
        <w:t>)</w:t>
      </w:r>
    </w:p>
    <w:p w:rsidR="00DF03B8" w:rsidRDefault="00DF03B8" w:rsidP="00DF03B8">
      <w:pPr>
        <w:pStyle w:val="Textoindependiente"/>
        <w:jc w:val="center"/>
        <w:rPr>
          <w:rFonts w:ascii="Tahoma" w:hAnsi="Tahoma" w:cs="Tahoma"/>
          <w:b/>
          <w:sz w:val="20"/>
        </w:rPr>
      </w:pPr>
    </w:p>
    <w:p w:rsidR="00E367F1" w:rsidRPr="00E367F1" w:rsidRDefault="00DF03B8" w:rsidP="00E367F1">
      <w:pPr>
        <w:jc w:val="both"/>
        <w:rPr>
          <w:rFonts w:ascii="Trebuchet MS" w:hAnsi="Trebuchet MS"/>
          <w:i/>
          <w:sz w:val="18"/>
          <w:szCs w:val="18"/>
        </w:rPr>
      </w:pPr>
      <w:r w:rsidRPr="00F327B6">
        <w:rPr>
          <w:rFonts w:ascii="Trebuchet MS" w:hAnsi="Trebuchet MS"/>
          <w:i/>
          <w:sz w:val="18"/>
          <w:szCs w:val="18"/>
        </w:rPr>
        <w:t xml:space="preserve">Por medio de la cual se </w:t>
      </w:r>
      <w:r>
        <w:rPr>
          <w:rFonts w:ascii="Trebuchet MS" w:hAnsi="Trebuchet MS"/>
          <w:i/>
          <w:sz w:val="18"/>
          <w:szCs w:val="18"/>
        </w:rPr>
        <w:t xml:space="preserve">declara desierta la invitación 09 de 2009 cuyo objeto es </w:t>
      </w:r>
      <w:r w:rsidR="00E367F1" w:rsidRPr="00E367F1">
        <w:rPr>
          <w:rFonts w:ascii="Trebuchet MS" w:hAnsi="Trebuchet MS"/>
          <w:i/>
          <w:sz w:val="18"/>
          <w:szCs w:val="18"/>
        </w:rPr>
        <w:t>contratar bajo la modalidad de administración delegada, la administración de recursos técnicos, logísticos y humanos para la prestación de servicios  para ofrecer cubrimiento y/o transmisión de los eventos  que harán parte de la parrilla de programación de la subgerencia de radio</w:t>
      </w:r>
    </w:p>
    <w:p w:rsidR="00E367F1" w:rsidRPr="00133179" w:rsidRDefault="00E367F1" w:rsidP="00E367F1">
      <w:pPr>
        <w:jc w:val="center"/>
        <w:rPr>
          <w:rFonts w:ascii="Trebuchet MS" w:hAnsi="Trebuchet MS"/>
          <w:b/>
          <w:sz w:val="20"/>
          <w:szCs w:val="20"/>
        </w:rPr>
      </w:pPr>
    </w:p>
    <w:p w:rsidR="00DF03B8" w:rsidRDefault="00E367F1" w:rsidP="00DF03B8">
      <w:pPr>
        <w:pStyle w:val="Textoindependiente"/>
        <w:jc w:val="center"/>
        <w:rPr>
          <w:rFonts w:ascii="Trebuchet MS" w:hAnsi="Trebuchet MS" w:cs="Tahoma"/>
          <w:b/>
          <w:sz w:val="20"/>
          <w:szCs w:val="20"/>
        </w:rPr>
      </w:pPr>
      <w:r>
        <w:rPr>
          <w:rFonts w:ascii="Trebuchet MS" w:hAnsi="Trebuchet MS" w:cs="Tahoma"/>
          <w:b/>
          <w:sz w:val="20"/>
          <w:szCs w:val="20"/>
        </w:rPr>
        <w:t xml:space="preserve">EL SUSCRITO </w:t>
      </w:r>
      <w:r w:rsidR="00DF03B8">
        <w:rPr>
          <w:rFonts w:ascii="Trebuchet MS" w:hAnsi="Trebuchet MS" w:cs="Tahoma"/>
          <w:b/>
          <w:sz w:val="20"/>
          <w:szCs w:val="20"/>
        </w:rPr>
        <w:t xml:space="preserve">GERENTE </w:t>
      </w:r>
      <w:r>
        <w:rPr>
          <w:rFonts w:ascii="Trebuchet MS" w:hAnsi="Trebuchet MS" w:cs="Tahoma"/>
          <w:b/>
          <w:sz w:val="20"/>
          <w:szCs w:val="20"/>
        </w:rPr>
        <w:t xml:space="preserve">(E) </w:t>
      </w:r>
      <w:r w:rsidR="00DF03B8">
        <w:rPr>
          <w:rFonts w:ascii="Trebuchet MS" w:hAnsi="Trebuchet MS" w:cs="Tahoma"/>
          <w:b/>
          <w:sz w:val="20"/>
          <w:szCs w:val="20"/>
        </w:rPr>
        <w:t xml:space="preserve">DE </w:t>
      </w:r>
    </w:p>
    <w:p w:rsidR="00DF03B8" w:rsidRDefault="00DF03B8" w:rsidP="00DF03B8">
      <w:pPr>
        <w:pStyle w:val="Textoindependiente"/>
        <w:jc w:val="center"/>
        <w:rPr>
          <w:rFonts w:ascii="Trebuchet MS" w:hAnsi="Trebuchet MS" w:cs="Tahoma"/>
          <w:b/>
          <w:sz w:val="20"/>
          <w:szCs w:val="20"/>
        </w:rPr>
      </w:pPr>
      <w:r>
        <w:rPr>
          <w:rFonts w:ascii="Trebuchet MS" w:hAnsi="Trebuchet MS" w:cs="Tahoma"/>
          <w:b/>
          <w:sz w:val="20"/>
          <w:szCs w:val="20"/>
        </w:rPr>
        <w:t>radio televisión nacional de Colombia - rtvc-</w:t>
      </w:r>
    </w:p>
    <w:p w:rsidR="00DF03B8" w:rsidRDefault="00DF03B8" w:rsidP="00DF03B8">
      <w:pPr>
        <w:pStyle w:val="Textoindependiente"/>
        <w:jc w:val="center"/>
        <w:rPr>
          <w:rFonts w:ascii="Trebuchet MS" w:hAnsi="Trebuchet MS" w:cs="Tahoma"/>
          <w:b/>
          <w:sz w:val="20"/>
          <w:szCs w:val="20"/>
        </w:rPr>
      </w:pPr>
    </w:p>
    <w:p w:rsidR="00DF03B8" w:rsidRDefault="00DF03B8" w:rsidP="00DF03B8">
      <w:pPr>
        <w:pStyle w:val="Textoindependiente"/>
        <w:jc w:val="center"/>
        <w:rPr>
          <w:rFonts w:ascii="Trebuchet MS" w:hAnsi="Trebuchet MS" w:cs="Tahoma"/>
          <w:sz w:val="20"/>
          <w:szCs w:val="20"/>
        </w:rPr>
      </w:pPr>
      <w:r>
        <w:rPr>
          <w:rFonts w:ascii="Trebuchet MS" w:hAnsi="Trebuchet MS" w:cs="Tahoma"/>
          <w:sz w:val="20"/>
          <w:szCs w:val="20"/>
        </w:rPr>
        <w:t xml:space="preserve">En ejercicio de sus facultades legales y reglamentarias en especial de las conferidas en la Ley 80 de 1993, sus Decretos Reglamentarios y </w:t>
      </w:r>
      <w:r w:rsidR="00E367F1">
        <w:rPr>
          <w:rFonts w:ascii="Trebuchet MS" w:hAnsi="Trebuchet MS" w:cs="Tahoma"/>
          <w:sz w:val="20"/>
          <w:szCs w:val="20"/>
        </w:rPr>
        <w:t xml:space="preserve">la Resolución 172 de 2008,  </w:t>
      </w:r>
      <w:r>
        <w:rPr>
          <w:rFonts w:ascii="Trebuchet MS" w:hAnsi="Trebuchet MS" w:cs="Tahoma"/>
          <w:sz w:val="20"/>
          <w:szCs w:val="20"/>
        </w:rPr>
        <w:t xml:space="preserve"> </w:t>
      </w:r>
    </w:p>
    <w:p w:rsidR="00DF03B8" w:rsidRDefault="00DF03B8" w:rsidP="00DF03B8">
      <w:pPr>
        <w:pStyle w:val="Textoindependiente"/>
        <w:jc w:val="center"/>
        <w:rPr>
          <w:rFonts w:ascii="Trebuchet MS" w:hAnsi="Trebuchet MS" w:cs="Tahoma"/>
          <w:sz w:val="20"/>
          <w:szCs w:val="20"/>
        </w:rPr>
      </w:pPr>
    </w:p>
    <w:p w:rsidR="00DF03B8" w:rsidRDefault="00DF03B8" w:rsidP="00DF03B8">
      <w:pPr>
        <w:pStyle w:val="Textoindependiente"/>
        <w:jc w:val="center"/>
        <w:rPr>
          <w:rFonts w:ascii="Trebuchet MS" w:hAnsi="Trebuchet MS" w:cs="Tahoma"/>
          <w:b/>
          <w:sz w:val="20"/>
          <w:szCs w:val="20"/>
        </w:rPr>
      </w:pPr>
      <w:r>
        <w:rPr>
          <w:rFonts w:ascii="Trebuchet MS" w:hAnsi="Trebuchet MS" w:cs="Tahoma"/>
          <w:b/>
          <w:sz w:val="20"/>
          <w:szCs w:val="20"/>
        </w:rPr>
        <w:t>CONSIDERANDO:</w:t>
      </w:r>
    </w:p>
    <w:p w:rsidR="00DF03B8" w:rsidRDefault="00DF03B8" w:rsidP="00DF03B8">
      <w:pPr>
        <w:pStyle w:val="Textoindependiente"/>
        <w:jc w:val="center"/>
        <w:rPr>
          <w:rFonts w:ascii="Trebuchet MS" w:hAnsi="Trebuchet MS" w:cs="Tahoma"/>
          <w:b/>
          <w:sz w:val="20"/>
          <w:szCs w:val="20"/>
        </w:rPr>
      </w:pPr>
    </w:p>
    <w:p w:rsidR="00DF03B8" w:rsidRDefault="00DF03B8" w:rsidP="00DF03B8">
      <w:pPr>
        <w:pStyle w:val="Sangra2detindependiente"/>
        <w:ind w:firstLine="0"/>
        <w:rPr>
          <w:rFonts w:ascii="Trebuchet MS" w:hAnsi="Trebuchet MS"/>
        </w:rPr>
      </w:pPr>
      <w:r>
        <w:rPr>
          <w:rFonts w:ascii="Trebuchet MS" w:hAnsi="Trebuchet MS"/>
        </w:rPr>
        <w:t>Que de conformidad con el artículo 5 del Decreto 3550 de 2004, “Para todos los efectos previstos en el presente Decreto se entiende por Gestor del servicio público de radio y televisión a  la sociedad  RADIO TELEVISION NACIONAL DE COLOMBIA- RTVC”.</w:t>
      </w:r>
    </w:p>
    <w:p w:rsidR="00DF03B8" w:rsidRDefault="00DF03B8" w:rsidP="00DF03B8">
      <w:pPr>
        <w:pStyle w:val="Sangra2detindependiente"/>
        <w:tabs>
          <w:tab w:val="num" w:pos="360"/>
        </w:tabs>
        <w:ind w:left="360" w:firstLine="0"/>
        <w:rPr>
          <w:rFonts w:ascii="Trebuchet MS" w:hAnsi="Trebuchet MS"/>
        </w:rPr>
      </w:pPr>
    </w:p>
    <w:p w:rsidR="00E367F1" w:rsidRPr="00E367F1" w:rsidRDefault="00DF03B8" w:rsidP="00E367F1">
      <w:pPr>
        <w:pStyle w:val="Sangra2detindependiente"/>
        <w:ind w:firstLine="0"/>
        <w:rPr>
          <w:rFonts w:ascii="Trebuchet MS" w:hAnsi="Trebuchet MS"/>
          <w:i/>
        </w:rPr>
      </w:pPr>
      <w:r>
        <w:rPr>
          <w:rFonts w:ascii="Trebuchet MS" w:hAnsi="Trebuchet MS"/>
        </w:rPr>
        <w:t xml:space="preserve">Que mediante Resolución No. </w:t>
      </w:r>
      <w:r w:rsidR="00E367F1">
        <w:rPr>
          <w:rFonts w:ascii="Trebuchet MS" w:hAnsi="Trebuchet MS"/>
        </w:rPr>
        <w:t>277</w:t>
      </w:r>
      <w:r>
        <w:rPr>
          <w:rFonts w:ascii="Trebuchet MS" w:hAnsi="Trebuchet MS"/>
        </w:rPr>
        <w:t xml:space="preserve"> de fecha </w:t>
      </w:r>
      <w:r w:rsidR="00E367F1">
        <w:rPr>
          <w:rFonts w:ascii="Trebuchet MS" w:hAnsi="Trebuchet MS"/>
        </w:rPr>
        <w:t>7</w:t>
      </w:r>
      <w:r>
        <w:rPr>
          <w:rFonts w:ascii="Trebuchet MS" w:hAnsi="Trebuchet MS"/>
        </w:rPr>
        <w:t xml:space="preserve"> de </w:t>
      </w:r>
      <w:r w:rsidR="00E367F1">
        <w:rPr>
          <w:rFonts w:ascii="Trebuchet MS" w:hAnsi="Trebuchet MS"/>
        </w:rPr>
        <w:t>julio</w:t>
      </w:r>
      <w:r>
        <w:rPr>
          <w:rFonts w:ascii="Trebuchet MS" w:hAnsi="Trebuchet MS"/>
        </w:rPr>
        <w:t xml:space="preserve"> de 200</w:t>
      </w:r>
      <w:r w:rsidR="00E367F1">
        <w:rPr>
          <w:rFonts w:ascii="Trebuchet MS" w:hAnsi="Trebuchet MS"/>
        </w:rPr>
        <w:t>9</w:t>
      </w:r>
      <w:r>
        <w:rPr>
          <w:rFonts w:ascii="Trebuchet MS" w:hAnsi="Trebuchet MS"/>
        </w:rPr>
        <w:t>, se ordenó la apertura de la Invitación Directa No. 0</w:t>
      </w:r>
      <w:r w:rsidR="00E367F1">
        <w:rPr>
          <w:rFonts w:ascii="Trebuchet MS" w:hAnsi="Trebuchet MS"/>
        </w:rPr>
        <w:t xml:space="preserve">9 </w:t>
      </w:r>
      <w:r>
        <w:rPr>
          <w:rFonts w:ascii="Trebuchet MS" w:hAnsi="Trebuchet MS"/>
        </w:rPr>
        <w:t>de 200</w:t>
      </w:r>
      <w:r w:rsidR="00E367F1">
        <w:rPr>
          <w:rFonts w:ascii="Trebuchet MS" w:hAnsi="Trebuchet MS"/>
        </w:rPr>
        <w:t>9</w:t>
      </w:r>
      <w:r>
        <w:rPr>
          <w:rFonts w:ascii="Trebuchet MS" w:hAnsi="Trebuchet MS"/>
        </w:rPr>
        <w:t xml:space="preserve">, cuyo objeto es </w:t>
      </w:r>
      <w:r w:rsidR="00E367F1">
        <w:rPr>
          <w:rFonts w:ascii="Trebuchet MS" w:hAnsi="Trebuchet MS"/>
        </w:rPr>
        <w:t xml:space="preserve"> </w:t>
      </w:r>
      <w:r w:rsidR="00E367F1" w:rsidRPr="00E367F1">
        <w:rPr>
          <w:rFonts w:ascii="Trebuchet MS" w:hAnsi="Trebuchet MS"/>
          <w:i/>
        </w:rPr>
        <w:t>“</w:t>
      </w:r>
      <w:r w:rsidRPr="00E367F1">
        <w:rPr>
          <w:rFonts w:ascii="Trebuchet MS" w:hAnsi="Trebuchet MS"/>
          <w:i/>
        </w:rPr>
        <w:t xml:space="preserve">contratar </w:t>
      </w:r>
      <w:r w:rsidR="00E367F1" w:rsidRPr="00E367F1">
        <w:rPr>
          <w:rFonts w:ascii="Trebuchet MS" w:hAnsi="Trebuchet MS"/>
          <w:i/>
        </w:rPr>
        <w:t>bajo la modalidad de administración delegada, la administración de recursos técnicos, logísticos y humanos para la prestación de servicios  para ofrecer cubrimiento y/o transmisión de los eventos  que harán parte de la parrilla de programación de la subgerencia de radio”</w:t>
      </w:r>
    </w:p>
    <w:p w:rsidR="00DF03B8" w:rsidRPr="00E367F1" w:rsidRDefault="00DF03B8" w:rsidP="00DF03B8">
      <w:pPr>
        <w:pStyle w:val="Sangra2detindependiente"/>
        <w:ind w:firstLine="0"/>
        <w:rPr>
          <w:rFonts w:ascii="Trebuchet MS" w:hAnsi="Trebuchet MS" w:cs="Times New Roman"/>
          <w:bCs w:val="0"/>
          <w:sz w:val="24"/>
          <w:szCs w:val="24"/>
          <w:lang w:val="es-ES"/>
        </w:rPr>
      </w:pPr>
    </w:p>
    <w:p w:rsidR="00DF03B8" w:rsidRDefault="00DF03B8" w:rsidP="00DF03B8">
      <w:pPr>
        <w:pStyle w:val="Sangra2detindependiente"/>
        <w:ind w:firstLine="0"/>
        <w:rPr>
          <w:rFonts w:ascii="Trebuchet MS" w:hAnsi="Trebuchet MS"/>
        </w:rPr>
      </w:pPr>
      <w:r>
        <w:rPr>
          <w:rFonts w:ascii="Trebuchet MS" w:hAnsi="Trebuchet MS"/>
        </w:rPr>
        <w:t>Que en atención al cronograma de la contratación y la adenda 0</w:t>
      </w:r>
      <w:r w:rsidR="00E367F1">
        <w:rPr>
          <w:rFonts w:ascii="Trebuchet MS" w:hAnsi="Trebuchet MS"/>
        </w:rPr>
        <w:t>2</w:t>
      </w:r>
      <w:r>
        <w:rPr>
          <w:rFonts w:ascii="Trebuchet MS" w:hAnsi="Trebuchet MS"/>
        </w:rPr>
        <w:t xml:space="preserve">, el día </w:t>
      </w:r>
      <w:r w:rsidR="00E367F1">
        <w:rPr>
          <w:rFonts w:ascii="Trebuchet MS" w:hAnsi="Trebuchet MS"/>
        </w:rPr>
        <w:t>16</w:t>
      </w:r>
      <w:r>
        <w:rPr>
          <w:rFonts w:ascii="Trebuchet MS" w:hAnsi="Trebuchet MS"/>
        </w:rPr>
        <w:t xml:space="preserve"> de </w:t>
      </w:r>
      <w:r w:rsidR="00E367F1">
        <w:rPr>
          <w:rFonts w:ascii="Trebuchet MS" w:hAnsi="Trebuchet MS"/>
        </w:rPr>
        <w:t>julio</w:t>
      </w:r>
      <w:r>
        <w:rPr>
          <w:rFonts w:ascii="Trebuchet MS" w:hAnsi="Trebuchet MS"/>
        </w:rPr>
        <w:t xml:space="preserve"> de 200</w:t>
      </w:r>
      <w:r w:rsidR="00E367F1">
        <w:rPr>
          <w:rFonts w:ascii="Trebuchet MS" w:hAnsi="Trebuchet MS"/>
        </w:rPr>
        <w:t>9</w:t>
      </w:r>
      <w:r>
        <w:rPr>
          <w:rFonts w:ascii="Trebuchet MS" w:hAnsi="Trebuchet MS"/>
        </w:rPr>
        <w:t>, se verificó el cierre de la Invitación Directa No.0</w:t>
      </w:r>
      <w:r w:rsidR="008428D7">
        <w:rPr>
          <w:rFonts w:ascii="Trebuchet MS" w:hAnsi="Trebuchet MS"/>
        </w:rPr>
        <w:t>9</w:t>
      </w:r>
      <w:r>
        <w:rPr>
          <w:rFonts w:ascii="Trebuchet MS" w:hAnsi="Trebuchet MS"/>
        </w:rPr>
        <w:t xml:space="preserve"> de 200</w:t>
      </w:r>
      <w:r w:rsidR="008428D7">
        <w:rPr>
          <w:rFonts w:ascii="Trebuchet MS" w:hAnsi="Trebuchet MS"/>
        </w:rPr>
        <w:t>9</w:t>
      </w:r>
      <w:r>
        <w:rPr>
          <w:rFonts w:ascii="Trebuchet MS" w:hAnsi="Trebuchet MS"/>
        </w:rPr>
        <w:t>,</w:t>
      </w:r>
      <w:r>
        <w:rPr>
          <w:rFonts w:ascii="Trebuchet MS" w:hAnsi="Trebuchet MS" w:cs="TrebuchetMS"/>
        </w:rPr>
        <w:t xml:space="preserve"> </w:t>
      </w:r>
      <w:r>
        <w:rPr>
          <w:rFonts w:ascii="Trebuchet MS" w:hAnsi="Trebuchet MS"/>
        </w:rPr>
        <w:t xml:space="preserve">habiéndose recibido la propuesta </w:t>
      </w:r>
      <w:r w:rsidR="008428D7">
        <w:rPr>
          <w:rFonts w:ascii="Trebuchet MS" w:hAnsi="Trebuchet MS"/>
        </w:rPr>
        <w:t xml:space="preserve">de DIEGO FERNANDO VERGARA. </w:t>
      </w:r>
    </w:p>
    <w:p w:rsidR="00DF03B8" w:rsidRDefault="00DF03B8" w:rsidP="00DF03B8">
      <w:pPr>
        <w:pStyle w:val="Prrafodelista"/>
        <w:rPr>
          <w:rFonts w:ascii="Trebuchet MS" w:hAnsi="Trebuchet MS" w:cs="TrebuchetMS"/>
          <w:sz w:val="20"/>
          <w:szCs w:val="20"/>
          <w:lang w:val="es-ES_tradnl"/>
        </w:rPr>
      </w:pPr>
    </w:p>
    <w:p w:rsidR="00DF03B8" w:rsidRDefault="00DF03B8" w:rsidP="00DF03B8">
      <w:pPr>
        <w:pStyle w:val="Sangra2detindependiente"/>
        <w:ind w:firstLine="0"/>
        <w:rPr>
          <w:rFonts w:ascii="Trebuchet MS" w:hAnsi="Trebuchet MS"/>
        </w:rPr>
      </w:pPr>
      <w:r>
        <w:rPr>
          <w:rFonts w:ascii="Trebuchet MS" w:hAnsi="Trebuchet MS"/>
        </w:rPr>
        <w:t>Que</w:t>
      </w:r>
      <w:r w:rsidR="008428D7">
        <w:rPr>
          <w:rFonts w:ascii="Trebuchet MS" w:hAnsi="Trebuchet MS"/>
        </w:rPr>
        <w:t xml:space="preserve"> una vez realizada la verificación jurídica, técnica, financiera y económica de la única oferta </w:t>
      </w:r>
      <w:r>
        <w:rPr>
          <w:rFonts w:ascii="Trebuchet MS" w:hAnsi="Trebuchet MS"/>
        </w:rPr>
        <w:t xml:space="preserve"> </w:t>
      </w:r>
      <w:r w:rsidR="008428D7">
        <w:rPr>
          <w:rFonts w:ascii="Trebuchet MS" w:hAnsi="Trebuchet MS"/>
        </w:rPr>
        <w:t>presentada</w:t>
      </w:r>
      <w:r>
        <w:rPr>
          <w:rFonts w:ascii="Trebuchet MS" w:hAnsi="Trebuchet MS"/>
        </w:rPr>
        <w:t xml:space="preserve">, (la cual forma parte de este acto) por parte de los evaluadores competentes, los resultados arrojados por </w:t>
      </w:r>
      <w:r w:rsidR="008428D7">
        <w:rPr>
          <w:rFonts w:ascii="Trebuchet MS" w:hAnsi="Trebuchet MS"/>
        </w:rPr>
        <w:t xml:space="preserve">la evaluación fueron los siguientes: </w:t>
      </w:r>
    </w:p>
    <w:p w:rsidR="00DF03B8" w:rsidRDefault="00DF03B8" w:rsidP="00DF03B8">
      <w:pPr>
        <w:pStyle w:val="Sangra2detindependiente"/>
        <w:ind w:left="360" w:firstLine="0"/>
        <w:rPr>
          <w:rFonts w:ascii="Trebuchet MS" w:hAnsi="Trebuchet MS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57"/>
        <w:gridCol w:w="2185"/>
        <w:gridCol w:w="2169"/>
        <w:gridCol w:w="2185"/>
      </w:tblGrid>
      <w:tr w:rsidR="008428D7" w:rsidTr="00DF03B8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3B8" w:rsidRDefault="008428D7">
            <w:pPr>
              <w:pStyle w:val="Sangra2detindependiente"/>
              <w:ind w:firstLine="0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 xml:space="preserve">Proponente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3B8" w:rsidRDefault="008428D7" w:rsidP="008428D7">
            <w:pPr>
              <w:pStyle w:val="Sangra2detindependiente"/>
              <w:ind w:firstLine="0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VERIFICACION JURIDICA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3B8" w:rsidRDefault="008428D7">
            <w:pPr>
              <w:pStyle w:val="Sangra2detindependiente"/>
              <w:ind w:firstLine="0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VERIFICACION TECNICA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3B8" w:rsidRDefault="008428D7">
            <w:pPr>
              <w:pStyle w:val="Sangra2detindependiente"/>
              <w:ind w:firstLine="0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 xml:space="preserve">VERIFICACION FINANCIERA Y PROPUESTA ECONOMICA </w:t>
            </w:r>
          </w:p>
        </w:tc>
      </w:tr>
      <w:tr w:rsidR="008428D7" w:rsidTr="00DF03B8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3B8" w:rsidRDefault="00DF03B8">
            <w:pPr>
              <w:pStyle w:val="Sangra2detindependiente"/>
              <w:ind w:firstLine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3B8" w:rsidRDefault="00DF03B8">
            <w:pPr>
              <w:pStyle w:val="Sangra2detindependiente"/>
              <w:ind w:firstLine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3B8" w:rsidRDefault="00DF03B8">
            <w:pPr>
              <w:pStyle w:val="Sangra2detindependiente"/>
              <w:ind w:firstLine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3B8" w:rsidRDefault="00DF03B8" w:rsidP="008428D7">
            <w:pPr>
              <w:pStyle w:val="Sangra2detindependiente"/>
              <w:ind w:firstLine="0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8428D7" w:rsidTr="00DF03B8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3B8" w:rsidRDefault="00DF03B8">
            <w:pPr>
              <w:pStyle w:val="Sangra2detindependiente"/>
              <w:ind w:firstLine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3B8" w:rsidRDefault="00DF03B8">
            <w:pPr>
              <w:pStyle w:val="Sangra2detindependiente"/>
              <w:ind w:firstLine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3B8" w:rsidRDefault="00DF03B8">
            <w:pPr>
              <w:pStyle w:val="Sangra2detindependiente"/>
              <w:ind w:firstLine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3B8" w:rsidRDefault="00DF03B8">
            <w:pPr>
              <w:pStyle w:val="Sangra2detindependiente"/>
              <w:ind w:firstLine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8428D7" w:rsidTr="00DF03B8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3B8" w:rsidRDefault="008428D7">
            <w:pPr>
              <w:pStyle w:val="Sangra2detindependiente"/>
              <w:ind w:firstLine="0"/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DIEGO FERNANDO VERGARA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3B8" w:rsidRDefault="008428D7" w:rsidP="008428D7">
            <w:pPr>
              <w:pStyle w:val="Sangra2detindependiente"/>
              <w:ind w:firstLine="0"/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PENDIENTE REQUERIMIENTOS DE DOCUMENTOS JURIDICOS LOS CUALES NO SE REALIZAN POR INCURRIR PROPONENTE EN LA CAUSAL DE RECHAZO DEL LITERAL T DEL NUMERAL 5.2 DEL PLIEGO DE CONDICIONES  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3B8" w:rsidRDefault="008428D7">
            <w:pPr>
              <w:pStyle w:val="Sangra2detindependiente"/>
              <w:ind w:firstLine="0"/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CUMPLE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3B8" w:rsidRDefault="008428D7" w:rsidP="008428D7">
            <w:pPr>
              <w:pStyle w:val="Sangra2detindependiente"/>
              <w:ind w:firstLine="0"/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PENDIENTE REQUERIMIENTOS DE DOCUMENTOS FINANCIEROS PARA VERIFICACION LOS CUALES NO SE REALIZAN POR INCURRIR PROPONENTE EN LA CAUSAL DE RECHAZO DEL LITERAL T DEL NUMERAL 5.2 DEL PLIEGO DE CONDICIONES   </w:t>
            </w:r>
          </w:p>
        </w:tc>
      </w:tr>
    </w:tbl>
    <w:p w:rsidR="00DF03B8" w:rsidRDefault="00DF03B8" w:rsidP="00DF03B8">
      <w:pPr>
        <w:pStyle w:val="Sangra2detindependiente"/>
        <w:ind w:left="360" w:firstLine="0"/>
        <w:rPr>
          <w:rFonts w:ascii="Trebuchet MS" w:hAnsi="Trebuchet MS"/>
          <w:lang w:val="es-CO"/>
        </w:rPr>
      </w:pPr>
    </w:p>
    <w:p w:rsidR="00A418EA" w:rsidRPr="00A418EA" w:rsidRDefault="00A418EA" w:rsidP="00DF03B8">
      <w:pPr>
        <w:pStyle w:val="Sangra2detindependiente"/>
        <w:ind w:left="360" w:firstLine="0"/>
        <w:rPr>
          <w:rFonts w:ascii="Trebuchet MS" w:hAnsi="Trebuchet MS"/>
          <w:sz w:val="18"/>
          <w:szCs w:val="18"/>
          <w:lang w:val="es-CO"/>
        </w:rPr>
      </w:pPr>
      <w:r w:rsidRPr="00A418EA">
        <w:rPr>
          <w:rFonts w:ascii="Trebuchet MS" w:hAnsi="Trebuchet MS"/>
          <w:sz w:val="18"/>
          <w:szCs w:val="18"/>
          <w:lang w:val="es-CO"/>
        </w:rPr>
        <w:t xml:space="preserve">Causal de rechazo: Constituirán causales de rechazo las siguientes: </w:t>
      </w:r>
    </w:p>
    <w:p w:rsidR="00A418EA" w:rsidRPr="00A418EA" w:rsidRDefault="00A418EA" w:rsidP="00DF03B8">
      <w:pPr>
        <w:pStyle w:val="Sangra2detindependiente"/>
        <w:ind w:left="360" w:firstLine="0"/>
        <w:rPr>
          <w:rFonts w:ascii="Trebuchet MS" w:hAnsi="Trebuchet MS"/>
          <w:sz w:val="18"/>
          <w:szCs w:val="18"/>
          <w:lang w:val="es-CO"/>
        </w:rPr>
      </w:pPr>
    </w:p>
    <w:p w:rsidR="00A418EA" w:rsidRPr="00A418EA" w:rsidRDefault="00A418EA" w:rsidP="00DF03B8">
      <w:pPr>
        <w:pStyle w:val="Sangra2detindependiente"/>
        <w:ind w:left="360" w:firstLine="0"/>
        <w:rPr>
          <w:rFonts w:ascii="Trebuchet MS" w:hAnsi="Trebuchet MS"/>
          <w:sz w:val="18"/>
          <w:szCs w:val="18"/>
          <w:lang w:val="es-CO"/>
        </w:rPr>
      </w:pPr>
      <w:r w:rsidRPr="00A418EA">
        <w:rPr>
          <w:rFonts w:ascii="Trebuchet MS" w:hAnsi="Trebuchet MS"/>
          <w:sz w:val="18"/>
          <w:szCs w:val="18"/>
          <w:lang w:val="es-CO"/>
        </w:rPr>
        <w:t>//……….//</w:t>
      </w:r>
    </w:p>
    <w:p w:rsidR="008428D7" w:rsidRPr="00A418EA" w:rsidRDefault="00A418EA" w:rsidP="00DF03B8">
      <w:pPr>
        <w:pStyle w:val="Sangra2detindependiente"/>
        <w:ind w:left="360" w:firstLine="0"/>
        <w:rPr>
          <w:rFonts w:ascii="Trebuchet MS" w:hAnsi="Trebuchet MS"/>
          <w:i/>
          <w:sz w:val="18"/>
          <w:szCs w:val="18"/>
          <w:lang w:val="es-CO"/>
        </w:rPr>
      </w:pPr>
      <w:r w:rsidRPr="00A418EA">
        <w:rPr>
          <w:rFonts w:ascii="Trebuchet MS" w:hAnsi="Trebuchet MS"/>
          <w:i/>
          <w:sz w:val="18"/>
          <w:szCs w:val="18"/>
          <w:lang w:val="es-CO"/>
        </w:rPr>
        <w:t xml:space="preserve"> </w:t>
      </w:r>
      <w:r w:rsidR="008428D7" w:rsidRPr="00A418EA">
        <w:rPr>
          <w:rFonts w:ascii="Trebuchet MS" w:hAnsi="Trebuchet MS"/>
          <w:i/>
          <w:sz w:val="18"/>
          <w:szCs w:val="18"/>
          <w:lang w:val="es-CO"/>
        </w:rPr>
        <w:t>Literal t)</w:t>
      </w:r>
      <w:r w:rsidRPr="00A418EA">
        <w:rPr>
          <w:rFonts w:ascii="Trebuchet MS" w:hAnsi="Trebuchet MS"/>
          <w:i/>
          <w:sz w:val="18"/>
          <w:szCs w:val="18"/>
          <w:lang w:val="es-CO"/>
        </w:rPr>
        <w:t xml:space="preserve"> </w:t>
      </w:r>
      <w:r w:rsidR="008428D7" w:rsidRPr="00A418EA">
        <w:rPr>
          <w:rFonts w:ascii="Trebuchet MS" w:hAnsi="Trebuchet MS"/>
          <w:i/>
          <w:sz w:val="18"/>
          <w:szCs w:val="18"/>
          <w:lang w:val="es-CO"/>
        </w:rPr>
        <w:t xml:space="preserve">El valor unitario de cada uno de los ítems </w:t>
      </w:r>
      <w:r w:rsidRPr="00A418EA">
        <w:rPr>
          <w:rFonts w:ascii="Trebuchet MS" w:hAnsi="Trebuchet MS"/>
          <w:i/>
          <w:sz w:val="18"/>
          <w:szCs w:val="18"/>
          <w:lang w:val="es-CO"/>
        </w:rPr>
        <w:t xml:space="preserve"> no puede ser superior al techo, ni inferior al 85% del valor establecido por el pliego de condiciones para cada uno (anexo económico) </w:t>
      </w:r>
    </w:p>
    <w:p w:rsidR="00A418EA" w:rsidRPr="008428D7" w:rsidRDefault="00A418EA" w:rsidP="00DF03B8">
      <w:pPr>
        <w:pStyle w:val="Sangra2detindependiente"/>
        <w:ind w:left="360" w:firstLine="0"/>
        <w:rPr>
          <w:rFonts w:ascii="Trebuchet MS" w:hAnsi="Trebuchet MS"/>
          <w:lang w:val="es-CO"/>
        </w:rPr>
      </w:pPr>
    </w:p>
    <w:p w:rsidR="00A418EA" w:rsidRDefault="00DF03B8" w:rsidP="00DF03B8">
      <w:pPr>
        <w:pStyle w:val="Sangra2detindependiente"/>
        <w:rPr>
          <w:rFonts w:ascii="Trebuchet MS" w:hAnsi="Trebuchet MS" w:cs="TrebuchetMS"/>
        </w:rPr>
      </w:pPr>
      <w:r>
        <w:rPr>
          <w:rFonts w:ascii="Trebuchet MS" w:hAnsi="Trebuchet MS" w:cs="TrebuchetMS"/>
        </w:rPr>
        <w:t xml:space="preserve">Que </w:t>
      </w:r>
      <w:r w:rsidR="00A418EA">
        <w:rPr>
          <w:rFonts w:ascii="Trebuchet MS" w:hAnsi="Trebuchet MS" w:cs="TrebuchetMS"/>
        </w:rPr>
        <w:t xml:space="preserve">el día 21 de julio se publicaron los informes de evaluación de la invitación 09 de 2009, con el fin de que el proponente presentará las observaciones a que hubiere lugar durante el termino previsto por el numeral 2.16 del pliego de condiciones.  </w:t>
      </w:r>
    </w:p>
    <w:p w:rsidR="00A418EA" w:rsidRDefault="00A418EA" w:rsidP="00DF03B8">
      <w:pPr>
        <w:pStyle w:val="Sangra2detindependiente"/>
        <w:rPr>
          <w:rFonts w:ascii="Trebuchet MS" w:hAnsi="Trebuchet MS" w:cs="TrebuchetMS"/>
        </w:rPr>
      </w:pPr>
    </w:p>
    <w:p w:rsidR="00DF03B8" w:rsidRDefault="00A418EA" w:rsidP="00DF03B8">
      <w:pPr>
        <w:pStyle w:val="Sangra2detindependiente"/>
        <w:rPr>
          <w:rFonts w:ascii="Trebuchet MS" w:hAnsi="Trebuchet MS"/>
        </w:rPr>
      </w:pPr>
      <w:r>
        <w:rPr>
          <w:rFonts w:ascii="Trebuchet MS" w:hAnsi="Trebuchet MS" w:cs="TrebuchetMS"/>
        </w:rPr>
        <w:t xml:space="preserve">Que mediante comunicación del 21 de julio de 2009, el proponente presenta renuncia al término de exhibición del informe de evaluación y manifiesta su intención de no presentar observaciones al informe de evaluación.  </w:t>
      </w:r>
    </w:p>
    <w:p w:rsidR="00DF03B8" w:rsidRDefault="00DF03B8" w:rsidP="00DF03B8">
      <w:pPr>
        <w:pStyle w:val="Sangra2detindependiente"/>
        <w:ind w:left="360" w:firstLine="0"/>
        <w:rPr>
          <w:rFonts w:ascii="Trebuchet MS" w:hAnsi="Trebuchet MS"/>
        </w:rPr>
      </w:pPr>
    </w:p>
    <w:p w:rsidR="00CE4257" w:rsidRDefault="00B460CA" w:rsidP="00DF03B8">
      <w:pPr>
        <w:pStyle w:val="Sangra2detindependiente"/>
        <w:rPr>
          <w:rFonts w:ascii="Trebuchet MS" w:hAnsi="Trebuchet MS"/>
        </w:rPr>
      </w:pPr>
      <w:r>
        <w:rPr>
          <w:rFonts w:ascii="Trebuchet MS" w:hAnsi="Trebuchet MS"/>
        </w:rPr>
        <w:t xml:space="preserve">Que el numeral 5.5. del pliego de condiciones, establece como una de las causales de la declaratoria de desierta del proceso cuando  la propuesta no se ajuste a lo establecido en el </w:t>
      </w:r>
    </w:p>
    <w:p w:rsidR="00CE4257" w:rsidRDefault="00CE4257" w:rsidP="00CE4257">
      <w:pPr>
        <w:pStyle w:val="Textoindependiente"/>
        <w:jc w:val="center"/>
        <w:rPr>
          <w:rFonts w:ascii="Trebuchet MS" w:hAnsi="Trebuchet MS" w:cs="Tahoma"/>
          <w:b/>
          <w:sz w:val="20"/>
          <w:szCs w:val="20"/>
        </w:rPr>
      </w:pPr>
      <w:r>
        <w:rPr>
          <w:rFonts w:ascii="Trebuchet MS" w:hAnsi="Trebuchet MS" w:cs="Tahoma"/>
          <w:b/>
          <w:sz w:val="20"/>
          <w:szCs w:val="20"/>
        </w:rPr>
        <w:lastRenderedPageBreak/>
        <w:t xml:space="preserve">                                                                                                               </w:t>
      </w:r>
      <w:r>
        <w:rPr>
          <w:noProof/>
          <w:lang w:val="es-CO" w:eastAsia="es-CO"/>
        </w:rPr>
        <w:drawing>
          <wp:inline distT="0" distB="0" distL="0" distR="0">
            <wp:extent cx="1025369" cy="548640"/>
            <wp:effectExtent l="19050" t="0" r="3331" b="0"/>
            <wp:docPr id="3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-189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55144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 w:cs="Tahoma"/>
          <w:b/>
          <w:noProof/>
          <w:sz w:val="20"/>
          <w:szCs w:val="20"/>
          <w:lang w:val="es-CO" w:eastAsia="es-CO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250825</wp:posOffset>
            </wp:positionH>
            <wp:positionV relativeFrom="paragraph">
              <wp:posOffset>-359410</wp:posOffset>
            </wp:positionV>
            <wp:extent cx="1165225" cy="675640"/>
            <wp:effectExtent l="19050" t="0" r="0" b="0"/>
            <wp:wrapNone/>
            <wp:docPr id="4" name="Imagen 2" descr="La imagen “file:///C:/Documents%20and%20Settings/JENNIFER/Mis%20documentos/PACHO/Oficina/Calidad/logo%20rtvc.jpg” no se puede mostrar debido a que contiene error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a imagen “file:///C:/Documents%20and%20Settings/JENNIFER/Mis%20documentos/PACHO/Oficina/Calidad/logo%20rtvc.jpg” no se puede mostrar debido a que contiene errores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166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225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4257" w:rsidRPr="00E367F1" w:rsidRDefault="00CE4257" w:rsidP="00CE4257">
      <w:pPr>
        <w:jc w:val="both"/>
        <w:rPr>
          <w:rFonts w:ascii="Trebuchet MS" w:hAnsi="Trebuchet MS"/>
          <w:i/>
          <w:sz w:val="18"/>
          <w:szCs w:val="18"/>
        </w:rPr>
      </w:pPr>
      <w:r>
        <w:rPr>
          <w:rFonts w:ascii="Trebuchet MS" w:hAnsi="Trebuchet MS"/>
          <w:i/>
          <w:sz w:val="18"/>
          <w:szCs w:val="18"/>
        </w:rPr>
        <w:t xml:space="preserve">Continuación resolución </w:t>
      </w:r>
      <w:r w:rsidR="00181754">
        <w:rPr>
          <w:rFonts w:ascii="Trebuchet MS" w:hAnsi="Trebuchet MS"/>
          <w:i/>
          <w:sz w:val="18"/>
          <w:szCs w:val="18"/>
        </w:rPr>
        <w:t>297</w:t>
      </w:r>
      <w:r>
        <w:rPr>
          <w:rFonts w:ascii="Trebuchet MS" w:hAnsi="Trebuchet MS"/>
          <w:i/>
          <w:sz w:val="18"/>
          <w:szCs w:val="18"/>
        </w:rPr>
        <w:t xml:space="preserve"> de 2009, p</w:t>
      </w:r>
      <w:r w:rsidRPr="00F327B6">
        <w:rPr>
          <w:rFonts w:ascii="Trebuchet MS" w:hAnsi="Trebuchet MS"/>
          <w:i/>
          <w:sz w:val="18"/>
          <w:szCs w:val="18"/>
        </w:rPr>
        <w:t xml:space="preserve">or medio de la cual se </w:t>
      </w:r>
      <w:r>
        <w:rPr>
          <w:rFonts w:ascii="Trebuchet MS" w:hAnsi="Trebuchet MS"/>
          <w:i/>
          <w:sz w:val="18"/>
          <w:szCs w:val="18"/>
        </w:rPr>
        <w:t xml:space="preserve">declara desierta la invitación 09 de 2009 cuyo objeto es </w:t>
      </w:r>
      <w:r w:rsidRPr="00E367F1">
        <w:rPr>
          <w:rFonts w:ascii="Trebuchet MS" w:hAnsi="Trebuchet MS"/>
          <w:i/>
          <w:sz w:val="18"/>
          <w:szCs w:val="18"/>
        </w:rPr>
        <w:t>contratar bajo la modalidad de administración delegada, la administración de recursos técnicos, logísticos y humanos para la prestación de servicios  para ofrecer cubrimiento y/o transmisión de los eventos  que harán parte de la parrilla de programación de la subgerencia de radio</w:t>
      </w:r>
    </w:p>
    <w:p w:rsidR="00CE4257" w:rsidRPr="00CE4257" w:rsidRDefault="00CE4257" w:rsidP="00DF03B8">
      <w:pPr>
        <w:pStyle w:val="Sangra2detindependiente"/>
        <w:rPr>
          <w:rFonts w:ascii="Trebuchet MS" w:hAnsi="Trebuchet MS"/>
          <w:lang w:val="es-ES"/>
        </w:rPr>
      </w:pPr>
    </w:p>
    <w:p w:rsidR="00B460CA" w:rsidRDefault="00B460CA" w:rsidP="00DF03B8">
      <w:pPr>
        <w:pStyle w:val="Sangra2detindependiente"/>
        <w:rPr>
          <w:rFonts w:ascii="Trebuchet MS" w:hAnsi="Trebuchet MS"/>
        </w:rPr>
      </w:pPr>
      <w:r>
        <w:rPr>
          <w:rFonts w:ascii="Trebuchet MS" w:hAnsi="Trebuchet MS"/>
        </w:rPr>
        <w:t xml:space="preserve">pliego de condiciones. </w:t>
      </w:r>
    </w:p>
    <w:p w:rsidR="00B460CA" w:rsidRDefault="00B460CA" w:rsidP="00DF03B8">
      <w:pPr>
        <w:pStyle w:val="Sangra2detindependiente"/>
        <w:rPr>
          <w:rFonts w:ascii="Trebuchet MS" w:hAnsi="Trebuchet MS"/>
        </w:rPr>
      </w:pPr>
    </w:p>
    <w:p w:rsidR="00DF03B8" w:rsidRDefault="00DF03B8" w:rsidP="00DF03B8">
      <w:pPr>
        <w:pStyle w:val="Sangra2detindependiente"/>
        <w:rPr>
          <w:rFonts w:ascii="Trebuchet MS" w:hAnsi="Trebuchet MS"/>
        </w:rPr>
      </w:pPr>
      <w:r>
        <w:rPr>
          <w:rFonts w:ascii="Trebuchet MS" w:hAnsi="Trebuchet MS"/>
        </w:rPr>
        <w:t xml:space="preserve">Que el </w:t>
      </w:r>
      <w:r w:rsidR="00A418EA">
        <w:rPr>
          <w:rFonts w:ascii="Trebuchet MS" w:hAnsi="Trebuchet MS"/>
        </w:rPr>
        <w:t xml:space="preserve">día 22 de julio en sesión virtual el </w:t>
      </w:r>
      <w:r>
        <w:rPr>
          <w:rFonts w:ascii="Trebuchet MS" w:hAnsi="Trebuchet MS"/>
        </w:rPr>
        <w:t xml:space="preserve">comité de contratación </w:t>
      </w:r>
      <w:r w:rsidR="00A418EA">
        <w:rPr>
          <w:rFonts w:ascii="Trebuchet MS" w:hAnsi="Trebuchet MS"/>
        </w:rPr>
        <w:t xml:space="preserve">se reunió </w:t>
      </w:r>
      <w:r>
        <w:rPr>
          <w:rFonts w:ascii="Trebuchet MS" w:hAnsi="Trebuchet MS" w:cs="TrebuchetMS"/>
        </w:rPr>
        <w:t xml:space="preserve">y luego de revisar los informes de evaluación </w:t>
      </w:r>
      <w:r w:rsidR="00A418EA">
        <w:rPr>
          <w:rFonts w:ascii="Trebuchet MS" w:hAnsi="Trebuchet MS" w:cs="TrebuchetMS"/>
        </w:rPr>
        <w:t xml:space="preserve"> </w:t>
      </w:r>
      <w:r>
        <w:rPr>
          <w:rFonts w:ascii="Trebuchet MS" w:hAnsi="Trebuchet MS"/>
        </w:rPr>
        <w:t>recomendó la declaratoria de desierta de la Invitación Directa No. 0</w:t>
      </w:r>
      <w:r w:rsidR="00A418EA">
        <w:rPr>
          <w:rFonts w:ascii="Trebuchet MS" w:hAnsi="Trebuchet MS"/>
        </w:rPr>
        <w:t>9</w:t>
      </w:r>
      <w:r>
        <w:rPr>
          <w:rFonts w:ascii="Trebuchet MS" w:hAnsi="Trebuchet MS"/>
        </w:rPr>
        <w:t xml:space="preserve"> de 200</w:t>
      </w:r>
      <w:r w:rsidR="00A418EA">
        <w:rPr>
          <w:rFonts w:ascii="Trebuchet MS" w:hAnsi="Trebuchet MS"/>
        </w:rPr>
        <w:t>9</w:t>
      </w:r>
      <w:r>
        <w:rPr>
          <w:rFonts w:ascii="Trebuchet MS" w:hAnsi="Trebuchet MS"/>
        </w:rPr>
        <w:t>, motivad</w:t>
      </w:r>
      <w:r w:rsidR="00B460CA">
        <w:rPr>
          <w:rFonts w:ascii="Trebuchet MS" w:hAnsi="Trebuchet MS"/>
        </w:rPr>
        <w:t xml:space="preserve">o en el no cumplimiento de la única oferta presentada  de los requerimientos económicos  establecidos en el pliego de condiciones. </w:t>
      </w:r>
    </w:p>
    <w:p w:rsidR="00DF03B8" w:rsidRDefault="00DF03B8" w:rsidP="00DF03B8">
      <w:pPr>
        <w:pStyle w:val="Sangra2detindependiente"/>
        <w:ind w:firstLine="0"/>
        <w:rPr>
          <w:rFonts w:ascii="Trebuchet MS" w:hAnsi="Trebuchet MS"/>
        </w:rPr>
      </w:pPr>
    </w:p>
    <w:p w:rsidR="00B460CA" w:rsidRDefault="00B460CA" w:rsidP="00DF03B8">
      <w:pPr>
        <w:pStyle w:val="Sangra2detindependiente"/>
        <w:ind w:firstLine="0"/>
        <w:rPr>
          <w:rFonts w:ascii="Trebuchet MS" w:hAnsi="Trebuchet MS"/>
        </w:rPr>
      </w:pPr>
    </w:p>
    <w:p w:rsidR="00DF03B8" w:rsidRDefault="00DF03B8" w:rsidP="00DF03B8">
      <w:pPr>
        <w:pStyle w:val="Sangra2detindependiente"/>
        <w:ind w:firstLine="0"/>
        <w:rPr>
          <w:rFonts w:ascii="Trebuchet MS" w:hAnsi="Trebuchet MS"/>
        </w:rPr>
      </w:pPr>
      <w:r>
        <w:rPr>
          <w:rFonts w:ascii="Trebuchet MS" w:hAnsi="Trebuchet MS"/>
        </w:rPr>
        <w:t>En consecuencia,</w:t>
      </w:r>
    </w:p>
    <w:p w:rsidR="00DF03B8" w:rsidRDefault="00DF03B8" w:rsidP="00DF03B8">
      <w:pPr>
        <w:pStyle w:val="Textoindependiente"/>
        <w:jc w:val="center"/>
        <w:rPr>
          <w:rFonts w:ascii="Trebuchet MS" w:hAnsi="Trebuchet MS" w:cs="Tahoma"/>
          <w:b/>
          <w:sz w:val="20"/>
          <w:szCs w:val="20"/>
        </w:rPr>
      </w:pPr>
    </w:p>
    <w:p w:rsidR="00DF03B8" w:rsidRDefault="00DF03B8" w:rsidP="00DF03B8">
      <w:pPr>
        <w:pStyle w:val="Textoindependiente"/>
        <w:jc w:val="center"/>
        <w:rPr>
          <w:rFonts w:ascii="Trebuchet MS" w:hAnsi="Trebuchet MS" w:cs="Tahoma"/>
          <w:b/>
          <w:sz w:val="20"/>
          <w:szCs w:val="20"/>
        </w:rPr>
      </w:pPr>
      <w:r>
        <w:rPr>
          <w:rFonts w:ascii="Trebuchet MS" w:hAnsi="Trebuchet MS" w:cs="Tahoma"/>
          <w:b/>
          <w:sz w:val="20"/>
          <w:szCs w:val="20"/>
        </w:rPr>
        <w:t>RESUELVE:</w:t>
      </w:r>
    </w:p>
    <w:p w:rsidR="00DF03B8" w:rsidRDefault="00DF03B8" w:rsidP="00DF03B8">
      <w:pPr>
        <w:pStyle w:val="Textoindependiente"/>
        <w:jc w:val="center"/>
        <w:rPr>
          <w:rFonts w:ascii="Trebuchet MS" w:hAnsi="Trebuchet MS" w:cs="Tahoma"/>
          <w:b/>
          <w:sz w:val="20"/>
          <w:szCs w:val="20"/>
        </w:rPr>
      </w:pPr>
    </w:p>
    <w:p w:rsidR="00B460CA" w:rsidRPr="00E367F1" w:rsidRDefault="00DF03B8" w:rsidP="00B460CA">
      <w:pPr>
        <w:jc w:val="both"/>
        <w:rPr>
          <w:rFonts w:ascii="Trebuchet MS" w:hAnsi="Trebuchet MS"/>
          <w:i/>
          <w:sz w:val="18"/>
          <w:szCs w:val="18"/>
        </w:rPr>
      </w:pPr>
      <w:r>
        <w:rPr>
          <w:rFonts w:ascii="Trebuchet MS" w:hAnsi="Trebuchet MS"/>
          <w:b/>
          <w:sz w:val="20"/>
          <w:szCs w:val="20"/>
        </w:rPr>
        <w:t>ARTÍCULO PRIMERO:</w:t>
      </w:r>
      <w:r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 w:cs="TrebuchetMS"/>
          <w:sz w:val="20"/>
          <w:szCs w:val="20"/>
        </w:rPr>
        <w:t>Declarar desierta la Invitación 0</w:t>
      </w:r>
      <w:r w:rsidR="00B460CA">
        <w:rPr>
          <w:rFonts w:ascii="Trebuchet MS" w:hAnsi="Trebuchet MS" w:cs="TrebuchetMS"/>
          <w:sz w:val="20"/>
          <w:szCs w:val="20"/>
        </w:rPr>
        <w:t>9</w:t>
      </w:r>
      <w:r>
        <w:rPr>
          <w:rFonts w:ascii="Trebuchet MS" w:hAnsi="Trebuchet MS" w:cs="TrebuchetMS"/>
          <w:sz w:val="20"/>
          <w:szCs w:val="20"/>
        </w:rPr>
        <w:t xml:space="preserve"> de 200</w:t>
      </w:r>
      <w:r w:rsidR="00B460CA">
        <w:rPr>
          <w:rFonts w:ascii="Trebuchet MS" w:hAnsi="Trebuchet MS" w:cs="TrebuchetMS"/>
          <w:sz w:val="20"/>
          <w:szCs w:val="20"/>
        </w:rPr>
        <w:t>9</w:t>
      </w:r>
      <w:r>
        <w:rPr>
          <w:rFonts w:ascii="Trebuchet MS" w:hAnsi="Trebuchet MS" w:cs="TrebuchetMS"/>
          <w:sz w:val="20"/>
          <w:szCs w:val="20"/>
        </w:rPr>
        <w:t>, cuyo objeto es “</w:t>
      </w:r>
      <w:r w:rsidR="00B460CA" w:rsidRPr="00E367F1">
        <w:rPr>
          <w:rFonts w:ascii="Trebuchet MS" w:hAnsi="Trebuchet MS"/>
          <w:i/>
          <w:sz w:val="18"/>
          <w:szCs w:val="18"/>
        </w:rPr>
        <w:t>contratar bajo la modalidad de administración delegada, la administración de recursos técnicos, logísticos y humanos para la prestación de servicios  para ofrecer cubrimiento y/o transmisión de los eventos  que harán parte de la parrilla de programación de la subgerencia de radio</w:t>
      </w:r>
      <w:r w:rsidR="00B460CA">
        <w:rPr>
          <w:rFonts w:ascii="Trebuchet MS" w:hAnsi="Trebuchet MS"/>
          <w:i/>
          <w:sz w:val="18"/>
          <w:szCs w:val="18"/>
        </w:rPr>
        <w:t>”</w:t>
      </w:r>
    </w:p>
    <w:p w:rsidR="00B460CA" w:rsidRPr="00133179" w:rsidRDefault="00B460CA" w:rsidP="00B460CA">
      <w:pPr>
        <w:jc w:val="center"/>
        <w:rPr>
          <w:rFonts w:ascii="Trebuchet MS" w:hAnsi="Trebuchet MS"/>
          <w:b/>
          <w:sz w:val="20"/>
          <w:szCs w:val="20"/>
        </w:rPr>
      </w:pPr>
    </w:p>
    <w:p w:rsidR="00DF03B8" w:rsidRDefault="00DF03B8" w:rsidP="00DF03B8">
      <w:pPr>
        <w:pStyle w:val="Textoindependiente"/>
        <w:rPr>
          <w:rFonts w:ascii="Trebuchet MS" w:hAnsi="Trebuchet MS" w:cs="Tahoma"/>
          <w:sz w:val="20"/>
          <w:szCs w:val="20"/>
        </w:rPr>
      </w:pPr>
      <w:r>
        <w:rPr>
          <w:rFonts w:ascii="Trebuchet MS" w:hAnsi="Trebuchet MS" w:cs="Tahoma"/>
          <w:b/>
          <w:bCs/>
          <w:sz w:val="20"/>
          <w:szCs w:val="20"/>
        </w:rPr>
        <w:t xml:space="preserve">ARTÍCULO SEGUNDO: </w:t>
      </w:r>
      <w:r>
        <w:rPr>
          <w:rFonts w:ascii="Trebuchet MS" w:hAnsi="Trebuchet MS" w:cs="Tahoma"/>
          <w:bCs/>
          <w:sz w:val="20"/>
          <w:szCs w:val="20"/>
        </w:rPr>
        <w:t xml:space="preserve">Notifíquese a los proponentes participantes en el presente proceso esta decisión, en los términos establecidos por el artículo 44 del Código Contencioso Administrativo. </w:t>
      </w:r>
    </w:p>
    <w:p w:rsidR="00DF03B8" w:rsidRDefault="00DF03B8" w:rsidP="00DF03B8">
      <w:pPr>
        <w:pStyle w:val="Textoindependiente"/>
        <w:rPr>
          <w:rFonts w:ascii="Trebuchet MS" w:hAnsi="Trebuchet MS" w:cs="Tahoma"/>
          <w:bCs/>
          <w:sz w:val="20"/>
          <w:szCs w:val="20"/>
        </w:rPr>
      </w:pPr>
    </w:p>
    <w:p w:rsidR="00DF03B8" w:rsidRDefault="00DF03B8" w:rsidP="00DF03B8">
      <w:pPr>
        <w:pStyle w:val="Textoindependiente"/>
        <w:rPr>
          <w:rFonts w:ascii="Trebuchet MS" w:hAnsi="Trebuchet MS" w:cs="Tahoma"/>
          <w:sz w:val="20"/>
          <w:szCs w:val="20"/>
        </w:rPr>
      </w:pPr>
      <w:r>
        <w:rPr>
          <w:rFonts w:ascii="Trebuchet MS" w:hAnsi="Trebuchet MS" w:cs="Tahoma"/>
          <w:b/>
          <w:bCs/>
          <w:sz w:val="20"/>
          <w:szCs w:val="20"/>
        </w:rPr>
        <w:t>ARTÍCULO TERCERO:</w:t>
      </w:r>
      <w:r>
        <w:rPr>
          <w:rFonts w:ascii="Trebuchet MS" w:hAnsi="Trebuchet MS" w:cs="Tahoma"/>
          <w:sz w:val="20"/>
          <w:szCs w:val="20"/>
        </w:rPr>
        <w:t xml:space="preserve"> Contra la presente resolución procede el recurso de reposición ante el funcionario que expidió la decisión el cual deberá interponerse en los términos previstos por el </w:t>
      </w:r>
      <w:r w:rsidR="00CE4257">
        <w:rPr>
          <w:rFonts w:ascii="Trebuchet MS" w:hAnsi="Trebuchet MS" w:cs="Tahoma"/>
          <w:sz w:val="20"/>
          <w:szCs w:val="20"/>
        </w:rPr>
        <w:t xml:space="preserve">artículo 50 del </w:t>
      </w:r>
      <w:r>
        <w:rPr>
          <w:rFonts w:ascii="Trebuchet MS" w:hAnsi="Trebuchet MS" w:cs="Tahoma"/>
          <w:sz w:val="20"/>
          <w:szCs w:val="20"/>
        </w:rPr>
        <w:t xml:space="preserve">Código Contencioso Administrativo.  </w:t>
      </w:r>
    </w:p>
    <w:p w:rsidR="00DF03B8" w:rsidRDefault="00DF03B8" w:rsidP="00DF03B8">
      <w:pPr>
        <w:pStyle w:val="Textoindependiente"/>
        <w:rPr>
          <w:rFonts w:ascii="Trebuchet MS" w:hAnsi="Trebuchet MS" w:cs="Tahoma"/>
          <w:sz w:val="20"/>
          <w:szCs w:val="20"/>
        </w:rPr>
      </w:pPr>
    </w:p>
    <w:p w:rsidR="00DF03B8" w:rsidRDefault="00DF03B8" w:rsidP="00DF03B8">
      <w:pPr>
        <w:pStyle w:val="Textoindependiente"/>
        <w:jc w:val="center"/>
        <w:rPr>
          <w:rFonts w:ascii="Trebuchet MS" w:hAnsi="Trebuchet MS" w:cs="Tahoma"/>
          <w:b/>
          <w:sz w:val="20"/>
          <w:szCs w:val="20"/>
        </w:rPr>
      </w:pPr>
      <w:r>
        <w:rPr>
          <w:rFonts w:ascii="Trebuchet MS" w:hAnsi="Trebuchet MS" w:cs="Tahoma"/>
          <w:b/>
          <w:sz w:val="20"/>
          <w:szCs w:val="20"/>
        </w:rPr>
        <w:t>NOTIFÍQUESE, COMUNIQUESE  Y CÚMPLASE</w:t>
      </w:r>
    </w:p>
    <w:p w:rsidR="00DF03B8" w:rsidRDefault="00DF03B8" w:rsidP="00DF03B8">
      <w:pPr>
        <w:pStyle w:val="Textoindependiente"/>
        <w:jc w:val="center"/>
        <w:rPr>
          <w:rFonts w:ascii="Trebuchet MS" w:hAnsi="Trebuchet MS" w:cs="Tahoma"/>
          <w:b/>
          <w:sz w:val="20"/>
          <w:szCs w:val="20"/>
        </w:rPr>
      </w:pPr>
    </w:p>
    <w:p w:rsidR="00DF03B8" w:rsidRDefault="00DF03B8" w:rsidP="00181754">
      <w:pPr>
        <w:pStyle w:val="Textoindependiente"/>
        <w:ind w:firstLine="708"/>
        <w:jc w:val="center"/>
        <w:rPr>
          <w:rFonts w:ascii="Trebuchet MS" w:hAnsi="Trebuchet MS" w:cs="Tahoma"/>
          <w:sz w:val="20"/>
          <w:szCs w:val="20"/>
        </w:rPr>
      </w:pPr>
      <w:r>
        <w:rPr>
          <w:rFonts w:ascii="Trebuchet MS" w:hAnsi="Trebuchet MS" w:cs="Tahoma"/>
          <w:sz w:val="20"/>
          <w:szCs w:val="20"/>
        </w:rPr>
        <w:t xml:space="preserve">Dada en Bogotá D.C.,  </w:t>
      </w:r>
      <w:r w:rsidR="00181754">
        <w:rPr>
          <w:rFonts w:ascii="Trebuchet MS" w:hAnsi="Trebuchet MS" w:cs="Tahoma"/>
          <w:sz w:val="20"/>
          <w:szCs w:val="20"/>
        </w:rPr>
        <w:t>veintidós (22) de julio de 2009</w:t>
      </w:r>
    </w:p>
    <w:p w:rsidR="00DF03B8" w:rsidRDefault="00DF03B8" w:rsidP="00181754">
      <w:pPr>
        <w:pStyle w:val="Textoindependiente"/>
        <w:ind w:firstLine="708"/>
        <w:jc w:val="center"/>
        <w:rPr>
          <w:rFonts w:ascii="Trebuchet MS" w:hAnsi="Trebuchet MS" w:cs="Tahoma"/>
          <w:sz w:val="20"/>
          <w:szCs w:val="20"/>
        </w:rPr>
      </w:pPr>
    </w:p>
    <w:p w:rsidR="00DF03B8" w:rsidRDefault="00DF03B8" w:rsidP="00181754">
      <w:pPr>
        <w:pStyle w:val="Textoindependiente"/>
        <w:jc w:val="center"/>
        <w:rPr>
          <w:rFonts w:ascii="Trebuchet MS" w:hAnsi="Trebuchet MS" w:cs="Tahoma"/>
          <w:sz w:val="20"/>
          <w:szCs w:val="20"/>
        </w:rPr>
      </w:pPr>
    </w:p>
    <w:p w:rsidR="00DF03B8" w:rsidRDefault="00DF03B8" w:rsidP="00DF03B8">
      <w:pPr>
        <w:pStyle w:val="Textoindependiente"/>
        <w:jc w:val="center"/>
        <w:rPr>
          <w:rFonts w:ascii="Trebuchet MS" w:hAnsi="Trebuchet MS" w:cs="Tahoma"/>
          <w:sz w:val="20"/>
          <w:szCs w:val="20"/>
        </w:rPr>
      </w:pPr>
    </w:p>
    <w:p w:rsidR="00DF03B8" w:rsidRDefault="00DF03B8" w:rsidP="00DF03B8">
      <w:pPr>
        <w:pStyle w:val="Textoindependiente"/>
        <w:jc w:val="center"/>
        <w:rPr>
          <w:rFonts w:ascii="Trebuchet MS" w:hAnsi="Trebuchet MS" w:cs="Tahoma"/>
          <w:sz w:val="20"/>
          <w:szCs w:val="20"/>
        </w:rPr>
      </w:pPr>
    </w:p>
    <w:p w:rsidR="00DF03B8" w:rsidRDefault="00DF03B8" w:rsidP="00DF03B8">
      <w:pPr>
        <w:pStyle w:val="Textoindependiente"/>
        <w:jc w:val="center"/>
        <w:rPr>
          <w:rFonts w:ascii="Trebuchet MS" w:hAnsi="Trebuchet MS" w:cs="Tahoma"/>
          <w:b/>
          <w:sz w:val="20"/>
          <w:szCs w:val="20"/>
        </w:rPr>
      </w:pPr>
    </w:p>
    <w:p w:rsidR="00DF03B8" w:rsidRDefault="00DF03B8" w:rsidP="00DF03B8">
      <w:pPr>
        <w:pStyle w:val="Textoindependiente"/>
        <w:jc w:val="center"/>
        <w:rPr>
          <w:rFonts w:ascii="Trebuchet MS" w:hAnsi="Trebuchet MS" w:cs="Tahoma"/>
          <w:b/>
          <w:sz w:val="20"/>
          <w:szCs w:val="20"/>
        </w:rPr>
      </w:pPr>
    </w:p>
    <w:p w:rsidR="00DF03B8" w:rsidRDefault="00DF03B8" w:rsidP="00DF03B8">
      <w:pPr>
        <w:pStyle w:val="Textoindependiente"/>
        <w:jc w:val="center"/>
        <w:rPr>
          <w:rFonts w:ascii="Trebuchet MS" w:hAnsi="Trebuchet MS" w:cs="Tahoma"/>
          <w:b/>
          <w:sz w:val="20"/>
          <w:szCs w:val="20"/>
        </w:rPr>
      </w:pPr>
    </w:p>
    <w:p w:rsidR="00DF03B8" w:rsidRDefault="00181754" w:rsidP="00DF03B8">
      <w:pPr>
        <w:pStyle w:val="Textoindependiente"/>
        <w:jc w:val="center"/>
        <w:rPr>
          <w:rFonts w:ascii="Trebuchet MS" w:hAnsi="Trebuchet MS" w:cs="Tahoma"/>
          <w:b/>
          <w:sz w:val="20"/>
          <w:szCs w:val="20"/>
        </w:rPr>
      </w:pPr>
      <w:r>
        <w:rPr>
          <w:rFonts w:ascii="Trebuchet MS" w:hAnsi="Trebuchet MS" w:cs="Tahoma"/>
          <w:b/>
          <w:sz w:val="20"/>
          <w:szCs w:val="20"/>
        </w:rPr>
        <w:t xml:space="preserve">(Original firmado por) </w:t>
      </w:r>
    </w:p>
    <w:p w:rsidR="00DF03B8" w:rsidRDefault="00CE4257" w:rsidP="00DF03B8">
      <w:pPr>
        <w:pStyle w:val="Textoindependiente"/>
        <w:jc w:val="center"/>
        <w:rPr>
          <w:rFonts w:ascii="Trebuchet MS" w:hAnsi="Trebuchet MS" w:cs="Tahoma"/>
          <w:b/>
          <w:sz w:val="20"/>
          <w:szCs w:val="20"/>
        </w:rPr>
      </w:pPr>
      <w:r>
        <w:rPr>
          <w:rFonts w:ascii="Trebuchet MS" w:hAnsi="Trebuchet MS" w:cs="Tahoma"/>
          <w:b/>
          <w:sz w:val="20"/>
          <w:szCs w:val="20"/>
        </w:rPr>
        <w:t xml:space="preserve">GABRIEL GOMEZ MEJIA </w:t>
      </w:r>
    </w:p>
    <w:p w:rsidR="00DF03B8" w:rsidRDefault="00DF03B8" w:rsidP="00DF03B8">
      <w:pPr>
        <w:pStyle w:val="Textoindependiente"/>
        <w:jc w:val="center"/>
        <w:rPr>
          <w:rFonts w:ascii="Trebuchet MS" w:hAnsi="Trebuchet MS" w:cs="Tahoma"/>
          <w:sz w:val="20"/>
          <w:szCs w:val="20"/>
        </w:rPr>
      </w:pPr>
      <w:r>
        <w:rPr>
          <w:rFonts w:ascii="Trebuchet MS" w:hAnsi="Trebuchet MS" w:cs="Tahoma"/>
          <w:sz w:val="20"/>
          <w:szCs w:val="20"/>
        </w:rPr>
        <w:t xml:space="preserve">Gerente </w:t>
      </w:r>
      <w:r w:rsidR="00CE4257">
        <w:rPr>
          <w:rFonts w:ascii="Trebuchet MS" w:hAnsi="Trebuchet MS" w:cs="Tahoma"/>
          <w:sz w:val="20"/>
          <w:szCs w:val="20"/>
        </w:rPr>
        <w:t>(E)</w:t>
      </w:r>
    </w:p>
    <w:p w:rsidR="00DF03B8" w:rsidRDefault="00DF03B8" w:rsidP="00DF03B8">
      <w:pPr>
        <w:pStyle w:val="Textoindependiente"/>
        <w:rPr>
          <w:rFonts w:ascii="Trebuchet MS" w:hAnsi="Trebuchet MS" w:cs="Tahoma"/>
          <w:sz w:val="20"/>
          <w:szCs w:val="20"/>
        </w:rPr>
      </w:pPr>
    </w:p>
    <w:p w:rsidR="00DF03B8" w:rsidRDefault="00DF03B8" w:rsidP="00DF03B8">
      <w:pPr>
        <w:pStyle w:val="Textoindependiente"/>
        <w:rPr>
          <w:rFonts w:ascii="Trebuchet MS" w:hAnsi="Trebuchet MS" w:cs="Tahoma"/>
          <w:sz w:val="14"/>
          <w:szCs w:val="14"/>
        </w:rPr>
      </w:pPr>
    </w:p>
    <w:p w:rsidR="00DF03B8" w:rsidRDefault="00DF03B8" w:rsidP="00DF03B8">
      <w:pPr>
        <w:pStyle w:val="Textoindependiente"/>
        <w:rPr>
          <w:rFonts w:ascii="Trebuchet MS" w:hAnsi="Trebuchet MS" w:cs="Tahoma"/>
          <w:sz w:val="14"/>
          <w:szCs w:val="14"/>
        </w:rPr>
      </w:pPr>
      <w:r>
        <w:rPr>
          <w:rFonts w:ascii="Trebuchet MS" w:hAnsi="Trebuchet MS" w:cs="Tahoma"/>
          <w:sz w:val="14"/>
          <w:szCs w:val="14"/>
        </w:rPr>
        <w:t>Proyectó: Ruby A. Malaver</w:t>
      </w:r>
    </w:p>
    <w:p w:rsidR="00DF03B8" w:rsidRDefault="00DF03B8" w:rsidP="00CE4257">
      <w:pPr>
        <w:pStyle w:val="Textoindependiente"/>
        <w:rPr>
          <w:rFonts w:ascii="Times New Roman" w:hAnsi="Times New Roman" w:cs="Times New Roman"/>
        </w:rPr>
      </w:pPr>
      <w:r>
        <w:rPr>
          <w:rFonts w:ascii="Trebuchet MS" w:hAnsi="Trebuchet MS" w:cs="Tahoma"/>
          <w:sz w:val="14"/>
          <w:szCs w:val="14"/>
        </w:rPr>
        <w:t>Revisó MV</w:t>
      </w:r>
    </w:p>
    <w:p w:rsidR="00DF03B8" w:rsidRDefault="00DF03B8" w:rsidP="00DF03B8"/>
    <w:p w:rsidR="00DF03B8" w:rsidRDefault="00DF03B8" w:rsidP="00DF03B8"/>
    <w:p w:rsidR="00CD6079" w:rsidRDefault="00CD6079"/>
    <w:sectPr w:rsidR="00CD6079" w:rsidSect="00CE4257">
      <w:pgSz w:w="12242" w:h="18705" w:code="12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1E4" w:rsidRDefault="005C21E4" w:rsidP="00CE4257">
      <w:r>
        <w:separator/>
      </w:r>
    </w:p>
  </w:endnote>
  <w:endnote w:type="continuationSeparator" w:id="0">
    <w:p w:rsidR="005C21E4" w:rsidRDefault="005C21E4" w:rsidP="00CE42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rebuchetMS">
    <w:altName w:val="Trebuchet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1E4" w:rsidRDefault="005C21E4" w:rsidP="00CE4257">
      <w:r>
        <w:separator/>
      </w:r>
    </w:p>
  </w:footnote>
  <w:footnote w:type="continuationSeparator" w:id="0">
    <w:p w:rsidR="005C21E4" w:rsidRDefault="005C21E4" w:rsidP="00CE42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3B8"/>
    <w:rsid w:val="00181754"/>
    <w:rsid w:val="005C21E4"/>
    <w:rsid w:val="007933FF"/>
    <w:rsid w:val="007F5B84"/>
    <w:rsid w:val="008004F5"/>
    <w:rsid w:val="008428D7"/>
    <w:rsid w:val="00A418EA"/>
    <w:rsid w:val="00B34486"/>
    <w:rsid w:val="00B460CA"/>
    <w:rsid w:val="00BA018C"/>
    <w:rsid w:val="00CD6079"/>
    <w:rsid w:val="00CE4257"/>
    <w:rsid w:val="00D65F3B"/>
    <w:rsid w:val="00DF03B8"/>
    <w:rsid w:val="00E36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3B8"/>
    <w:pPr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nhideWhenUsed/>
    <w:rsid w:val="00DF03B8"/>
    <w:pPr>
      <w:jc w:val="both"/>
    </w:pPr>
    <w:rPr>
      <w:rFonts w:ascii="Arial" w:hAnsi="Arial" w:cs="Arial"/>
    </w:rPr>
  </w:style>
  <w:style w:type="character" w:customStyle="1" w:styleId="TextoindependienteCar">
    <w:name w:val="Texto independiente Car"/>
    <w:basedOn w:val="Fuentedeprrafopredeter"/>
    <w:link w:val="Textoindependiente"/>
    <w:rsid w:val="00DF03B8"/>
    <w:rPr>
      <w:rFonts w:ascii="Arial" w:eastAsia="Times New Roman" w:hAnsi="Arial" w:cs="Arial"/>
      <w:sz w:val="24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unhideWhenUsed/>
    <w:rsid w:val="00DF03B8"/>
    <w:pPr>
      <w:widowControl w:val="0"/>
      <w:suppressAutoHyphens/>
      <w:ind w:firstLine="27"/>
      <w:jc w:val="both"/>
    </w:pPr>
    <w:rPr>
      <w:rFonts w:ascii="Tahoma" w:hAnsi="Tahoma" w:cs="Tahoma"/>
      <w:bCs/>
      <w:sz w:val="20"/>
      <w:szCs w:val="20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F03B8"/>
    <w:rPr>
      <w:rFonts w:ascii="Tahoma" w:eastAsia="Times New Roman" w:hAnsi="Tahoma" w:cs="Tahoma"/>
      <w:bCs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DF03B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F03B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03B8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CE425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E425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CE425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E4257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821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ramalaver</dc:creator>
  <cp:lastModifiedBy>ramalaver</cp:lastModifiedBy>
  <cp:revision>2</cp:revision>
  <cp:lastPrinted>2009-07-22T22:34:00Z</cp:lastPrinted>
  <dcterms:created xsi:type="dcterms:W3CDTF">2009-07-23T14:46:00Z</dcterms:created>
  <dcterms:modified xsi:type="dcterms:W3CDTF">2009-07-23T14:46:00Z</dcterms:modified>
</cp:coreProperties>
</file>